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6 -->
  <w:body>
    <w:p w:rsidR="00CF4FFE" w:rsidRPr="00DC4872" w:rsidP="00CF4FFE" w14:paraId="1825406A" w14:textId="5A4B85BB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30"/>
          <w:szCs w:val="30"/>
        </w:rPr>
      </w:pPr>
      <w:bookmarkStart w:id="0" w:name="_Toc249760023"/>
      <w:r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易方达原油证券投资基金（QDII）2022年1月10日暂停赎回业务的公告</w:t>
      </w:r>
    </w:p>
    <w:p w:rsidR="00CF4FFE" w:rsidRPr="00FC4FF1" w:rsidP="00CF4FFE" w14:paraId="6824EE55" w14:textId="7E2CF02D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</w:rPr>
      </w:pPr>
      <w:r w:rsidRPr="00FC4FF1">
        <w:rPr>
          <w:rFonts w:asciiTheme="majorEastAsia" w:eastAsiaTheme="majorEastAsia" w:hAnsiTheme="majorEastAsia" w:hint="eastAsia"/>
          <w:b/>
          <w:sz w:val="24"/>
        </w:rPr>
        <w:t>公告送出日期：2022年1月5日</w:t>
      </w:r>
    </w:p>
    <w:bookmarkEnd w:id="0"/>
    <w:p w:rsidR="00CF4FFE" w:rsidRPr="008C2033" w:rsidP="00CF4FFE" w14:paraId="6BD82C2F" w14:textId="77777777">
      <w:pPr>
        <w:pStyle w:val="Heading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8C2033">
        <w:rPr>
          <w:rFonts w:ascii="宋体" w:hAnsi="宋体" w:hint="eastAsia"/>
          <w:bCs w:val="0"/>
          <w:sz w:val="24"/>
          <w:szCs w:val="24"/>
        </w:rPr>
        <w:t>1.公告基本信息</w:t>
      </w:r>
    </w:p>
    <w:tbl>
      <w:tblPr>
        <w:tblW w:w="0" w:type="auto"/>
        <w:tblLayout w:type="fixed"/>
        <w:tblLook w:val="04A0"/>
      </w:tblPr>
      <w:tblGrid>
        <w:gridCol w:w="2124"/>
        <w:gridCol w:w="3084"/>
        <w:gridCol w:w="3084"/>
      </w:tblGrid>
      <w:tr w14:paraId="40369019" w14:textId="77777777" w:rsidTr="00783BF2">
        <w:tblPrEx>
          <w:tblW w:w="0" w:type="auto"/>
          <w:tblLayout w:type="fixed"/>
          <w:tblLook w:val="04A0"/>
        </w:tblPrEx>
        <w:trPr>
          <w:trHeight w:val="31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5F240A32" w14:textId="7777777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6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04A81B93" w14:textId="6C6F1AD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易方达原油证券投资基金（QDII）</w:t>
            </w:r>
          </w:p>
        </w:tc>
      </w:tr>
      <w:tr w14:paraId="7526B5D2" w14:textId="77777777" w:rsidTr="00783BF2">
        <w:tblPrEx>
          <w:tblW w:w="0" w:type="auto"/>
          <w:tblLayout w:type="fixed"/>
          <w:tblLook w:val="04A0"/>
        </w:tblPrEx>
        <w:trPr>
          <w:trHeight w:val="31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0842E3AE" w14:textId="7777777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6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9F597D" w:rsidP="00AD2F51" w14:paraId="09254076" w14:textId="574DE111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易方达原油（QDII-LOF-FOF）</w:t>
            </w:r>
          </w:p>
        </w:tc>
      </w:tr>
      <w:tr w14:paraId="16D25BC8" w14:textId="77777777" w:rsidTr="00783BF2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691A3A04" w14:textId="7777777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6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7E1EDD" w:rsidP="00AD2F51" w14:paraId="2E3087B1" w14:textId="57B5451D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161129</w:t>
            </w:r>
          </w:p>
        </w:tc>
      </w:tr>
      <w:tr w14:paraId="068D39BD" w14:textId="77777777" w:rsidTr="00783BF2">
        <w:tblPrEx>
          <w:tblW w:w="0" w:type="auto"/>
          <w:tblLayout w:type="fixed"/>
          <w:tblLook w:val="04A0"/>
        </w:tblPrEx>
        <w:trPr>
          <w:trHeight w:val="31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1F17D044" w14:textId="7777777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6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6F9D748D" w14:textId="7777777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易方达基金管理有限公司</w:t>
            </w:r>
          </w:p>
        </w:tc>
      </w:tr>
      <w:tr w14:paraId="15C94924" w14:textId="77777777" w:rsidTr="00783BF2">
        <w:tblPrEx>
          <w:tblW w:w="0" w:type="auto"/>
          <w:tblLayout w:type="fixed"/>
          <w:tblLook w:val="04A0"/>
        </w:tblPrEx>
        <w:trPr>
          <w:trHeight w:val="31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72ECCC84" w14:textId="7777777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6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016EE163" w14:textId="736F859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《公开募集证券投资基金信息披露管理办法》、《易方达原油证券投资基金（QDII）基金合同》、《易方达原油证券投资基金（QDII）更新的招募说明书》</w:t>
            </w:r>
          </w:p>
        </w:tc>
      </w:tr>
      <w:tr w14:paraId="11767F64" w14:textId="77777777" w:rsidTr="00783BF2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2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6607AA11" w14:textId="6268D23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暂停相关业务的起始日及原因说明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4F143829" w14:textId="42D16F4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暂停赎回起始日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55BB674B" w14:textId="17D51A40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2022年1月10日</w:t>
            </w:r>
          </w:p>
        </w:tc>
      </w:tr>
      <w:tr w14:paraId="11767F64" w14:textId="77777777" w:rsidTr="00783BF2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2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textId="6268D23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暂停相关业务的起始日及原因说明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textId="42D16F4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暂停赎回的原因说明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textId="17D51A40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2022年1月10日为东京证券交易所非交易日。</w:t>
            </w:r>
          </w:p>
        </w:tc>
      </w:tr>
      <w:tr w14:paraId="11767F64" w14:textId="77777777" w:rsidTr="00783BF2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21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textId="6268D23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textId="42D16F4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恢复赎回日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textId="17D51A40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2022年1月11日</w:t>
            </w:r>
          </w:p>
        </w:tc>
      </w:tr>
      <w:tr w14:paraId="11767F64" w14:textId="77777777" w:rsidTr="00783BF2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21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textId="6268D23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textId="42D16F4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恢复赎回的原因说明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textId="17D51A40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2022年1月11日为东京证券交易所交易日。</w:t>
            </w:r>
          </w:p>
        </w:tc>
      </w:tr>
      <w:tr w14:paraId="4F3BB062" w14:textId="77777777" w:rsidTr="00783BF2">
        <w:tblPrEx>
          <w:tblW w:w="0" w:type="auto"/>
          <w:tblLayout w:type="fixed"/>
          <w:tblLook w:val="04A0"/>
        </w:tblPrEx>
        <w:trPr>
          <w:trHeight w:val="62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526590EA" w14:textId="7777777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下属分级基金的基金简称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1D7549D6" w14:textId="2FB3181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3E5B"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易方达原油（QDII-LOF-FOF）A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379E4EA4" w14:textId="7AC035A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63E5B"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易方达原油（QDII-LOF-FOF）C</w:t>
            </w:r>
          </w:p>
        </w:tc>
      </w:tr>
      <w:tr w14:paraId="73093653" w14:textId="77777777" w:rsidTr="00783BF2">
        <w:tblPrEx>
          <w:tblW w:w="0" w:type="auto"/>
          <w:tblLayout w:type="fixed"/>
          <w:tblLook w:val="04A0"/>
        </w:tblPrEx>
        <w:trPr>
          <w:trHeight w:val="32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3FEA9264" w14:textId="7777777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下属分级基金的交易代码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F5419A" w:rsidP="00AD2F51" w14:paraId="24FEEAA9" w14:textId="4862F60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7BE">
              <w:rPr>
                <w:rFonts w:ascii="宋体" w:hAnsi="宋体" w:cs="宋体" w:hint="eastAsia"/>
                <w:color w:val="000000"/>
                <w:kern w:val="0"/>
                <w:sz w:val="24"/>
              </w:rPr>
              <w:t>161129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8367BE" w:rsidP="00AD2F51" w14:paraId="627D112F" w14:textId="39B9132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367BE">
              <w:rPr>
                <w:rFonts w:ascii="宋体" w:hAnsi="宋体" w:cs="宋体" w:hint="eastAsia"/>
                <w:color w:val="000000"/>
                <w:kern w:val="0"/>
                <w:sz w:val="24"/>
              </w:rPr>
              <w:t>003321</w:t>
            </w:r>
          </w:p>
        </w:tc>
      </w:tr>
      <w:tr w14:paraId="6889F211" w14:textId="77777777" w:rsidTr="00783BF2">
        <w:tblPrEx>
          <w:tblW w:w="0" w:type="auto"/>
          <w:tblLayout w:type="fixed"/>
          <w:tblLook w:val="04A0"/>
        </w:tblPrEx>
        <w:trPr>
          <w:trHeight w:val="61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381E6C" w14:paraId="437610D4" w14:textId="473234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该分级基金是否暂停赎回</w:t>
            </w:r>
            <w:bookmarkStart w:id="1" w:name="_GoBack"/>
            <w:bookmarkEnd w:id="1"/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23706677" w14:textId="7777777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P="00AD2F51" w14:paraId="2A17A7B7" w14:textId="7777777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</w:tbl>
    <w:p w:rsidR="00EC4900" w:rsidP="001E1FED" w14:paraId="0F18672C" w14:textId="17365086">
      <w:pPr>
        <w:spacing w:line="360" w:lineRule="auto"/>
        <w:ind w:firstLine="480" w:firstLineChars="20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注：（1）易方达原油证券投资基金（QDII）（以下简称“本基金”） A类人民币份额场内简称为原油LOF易方达。</w:t>
      </w:r>
    </w:p>
    <w:p w:rsidR="00EC4900" w:rsidP="001E1FED" w14:textId="17365086">
      <w:pPr>
        <w:spacing w:line="360" w:lineRule="auto"/>
        <w:ind w:firstLine="480" w:firstLineChars="20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（2）根据相关公告，本基金自2020年3月25日起暂停申购及定期定额投资业务，本基金恢复办理申购及定期定额投资业务的时间将另行公告。</w:t>
      </w:r>
    </w:p>
    <w:p w:rsidR="00132D7F" w:rsidRPr="008259F4" w:rsidP="001E1FED" w14:paraId="5B2C39A1" w14:textId="77777777">
      <w:pPr>
        <w:spacing w:line="360" w:lineRule="auto"/>
        <w:ind w:firstLine="480" w:firstLineChars="200"/>
        <w:rPr>
          <w:sz w:val="24"/>
        </w:rPr>
      </w:pPr>
    </w:p>
    <w:p w:rsidR="00CF4FFE" w:rsidRPr="008C2033" w:rsidP="00CF4FFE" w14:paraId="363AB32A" w14:textId="77777777">
      <w:pPr>
        <w:pStyle w:val="Heading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CF4FFE" w:rsidP="00CF4FFE" w14:paraId="578BB31F" w14:textId="2DED6C58">
      <w:pPr>
        <w:spacing w:line="360" w:lineRule="auto"/>
        <w:ind w:firstLine="480" w:firstLineChars="20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（1）本次暂停相关业务针对本基金所有基金份额类别（A类人民币份额基金代码为161129，A类美元份额基金代码为003322，C类人民币份额基金代码为003321，C类美元份额基金代码为003323）；</w:t>
      </w:r>
    </w:p>
    <w:p w:rsidR="00CF4FFE" w:rsidP="00CF4FFE" w14:textId="2DED6C58">
      <w:pPr>
        <w:spacing w:line="360" w:lineRule="auto"/>
        <w:ind w:firstLine="480" w:firstLineChars="20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（2）若境外主要市场节假日安排发生变化，本基金管理人将进行相应调整并公告；</w:t>
      </w:r>
    </w:p>
    <w:p w:rsidR="00CF4FFE" w:rsidP="00CF4FFE" w14:textId="2DED6C58">
      <w:pPr>
        <w:spacing w:line="360" w:lineRule="auto"/>
        <w:ind w:firstLine="480" w:firstLineChars="20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（3）投资者可通过本基金各销售机构及以下途径咨询有关详情：</w:t>
      </w:r>
    </w:p>
    <w:p w:rsidR="00CF4FFE" w:rsidP="00CF4FFE" w14:textId="2DED6C58">
      <w:pPr>
        <w:spacing w:line="360" w:lineRule="auto"/>
        <w:ind w:firstLine="480" w:firstLineChars="20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　　1）易方达基金管理有限公司网站：www.efunds.com.cn；</w:t>
      </w:r>
    </w:p>
    <w:p w:rsidR="00CF4FFE" w:rsidP="00CF4FFE" w14:textId="2DED6C58">
      <w:pPr>
        <w:spacing w:line="360" w:lineRule="auto"/>
        <w:ind w:firstLine="480" w:firstLineChars="20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　　2）易方达基金管理有限公司客户服务热线：400 881 8088；</w:t>
      </w:r>
    </w:p>
    <w:p w:rsidR="00CF4FFE" w:rsidP="00CF4FFE" w14:textId="2DED6C58">
      <w:pPr>
        <w:spacing w:line="360" w:lineRule="auto"/>
        <w:ind w:firstLine="480" w:firstLineChars="20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特此公告。</w:t>
      </w:r>
    </w:p>
    <w:p w:rsidR="00D3112F" w:rsidRPr="00FC4FF1" w:rsidP="00CF4FFE" w14:paraId="25639636" w14:textId="77777777">
      <w:pPr>
        <w:spacing w:line="360" w:lineRule="auto"/>
        <w:ind w:firstLine="480" w:firstLineChars="200"/>
        <w:rPr>
          <w:rFonts w:asciiTheme="minorEastAsia" w:eastAsiaTheme="minorEastAsia" w:hAnsiTheme="minorEastAsia"/>
          <w:color w:val="000000"/>
          <w:sz w:val="24"/>
        </w:rPr>
      </w:pPr>
    </w:p>
    <w:p w:rsidR="00CF4FFE" w:rsidRPr="00FC4FF1" w:rsidP="00CF4FFE" w14:paraId="7886694F" w14:textId="77777777">
      <w:pPr>
        <w:spacing w:line="360" w:lineRule="auto"/>
        <w:ind w:firstLine="480" w:firstLineChars="20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FC4FF1">
        <w:rPr>
          <w:rFonts w:asciiTheme="minorEastAsia" w:eastAsiaTheme="minorEastAsia" w:hAnsiTheme="minorEastAsia" w:hint="eastAsia"/>
          <w:color w:val="000000"/>
          <w:sz w:val="24"/>
        </w:rPr>
        <w:t>易方达基金管理有限公司</w:t>
      </w:r>
    </w:p>
    <w:p w:rsidR="00E255CB" w:rsidRPr="004932BD" w:rsidP="00D37617" w14:paraId="5782F7C8" w14:textId="7C2637B4">
      <w:pPr>
        <w:spacing w:line="360" w:lineRule="auto"/>
        <w:ind w:firstLine="480" w:firstLineChars="20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2022年1月5日</w:t>
      </w:r>
    </w:p>
    <w:sectPr w:rsidSect="00B120A5">
      <w:headerReference w:type="default" r:id="rId4"/>
      <w:footerReference w:type="default" r:id="rId5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0A5" w:rsidP="00B120A5" w14:paraId="1C7CA917" w14:textId="7777777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0A5" w:rsidRPr="004649DF" w:rsidP="00B120A5" w14:paraId="0F4E9E85" w14:textId="77777777">
    <w:pPr>
      <w:pStyle w:val="Header"/>
      <w:rPr>
        <w:rStyle w:val="PageNumber"/>
      </w:rPr>
    </w:pPr>
    <w:r>
      <w:rPr>
        <w:rStyle w:val="PageNumber"/>
        <w:rFonts w:hint="eastAsia"/>
      </w:rPr>
      <w:t xml:space="preserve">                                             </w:t>
    </w:r>
  </w:p>
  <w:p w:rsidR="00B120A5" w:rsidRPr="004649DF" w:rsidP="00B120A5" w14:paraId="5623FFA9" w14:textId="77777777">
    <w:pPr>
      <w:pStyle w:val="Header"/>
    </w:pPr>
    <w:r>
      <w:rPr>
        <w:rFonts w:hint="eastAsia"/>
      </w:rPr>
      <w:t xml:space="preserve">                                            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叶子逸">
    <w15:presenceInfo w15:providerId="AD" w15:userId="S-1-5-21-4192046361-1944119394-1811551143-30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0C"/>
    <w:rsid w:val="000040EC"/>
    <w:rsid w:val="000058CF"/>
    <w:rsid w:val="00016C7C"/>
    <w:rsid w:val="00022A0F"/>
    <w:rsid w:val="00053A2D"/>
    <w:rsid w:val="000603AA"/>
    <w:rsid w:val="00084037"/>
    <w:rsid w:val="00090A6D"/>
    <w:rsid w:val="000A08E2"/>
    <w:rsid w:val="000A4EA8"/>
    <w:rsid w:val="000B505A"/>
    <w:rsid w:val="000B6CA1"/>
    <w:rsid w:val="000D75B3"/>
    <w:rsid w:val="000E21A5"/>
    <w:rsid w:val="000E5C48"/>
    <w:rsid w:val="000E6DEE"/>
    <w:rsid w:val="000F55E8"/>
    <w:rsid w:val="001052A2"/>
    <w:rsid w:val="00116555"/>
    <w:rsid w:val="00127FE4"/>
    <w:rsid w:val="00132D7F"/>
    <w:rsid w:val="001345C4"/>
    <w:rsid w:val="00134ECE"/>
    <w:rsid w:val="001403F5"/>
    <w:rsid w:val="00165A9A"/>
    <w:rsid w:val="00171A39"/>
    <w:rsid w:val="00176983"/>
    <w:rsid w:val="00187BCF"/>
    <w:rsid w:val="00196B43"/>
    <w:rsid w:val="001D0C32"/>
    <w:rsid w:val="001D450D"/>
    <w:rsid w:val="001E1FED"/>
    <w:rsid w:val="001E5FFF"/>
    <w:rsid w:val="001F3EA6"/>
    <w:rsid w:val="002047B8"/>
    <w:rsid w:val="0021374C"/>
    <w:rsid w:val="00215D16"/>
    <w:rsid w:val="0023799D"/>
    <w:rsid w:val="0024190B"/>
    <w:rsid w:val="002510E8"/>
    <w:rsid w:val="00271D28"/>
    <w:rsid w:val="00276D6E"/>
    <w:rsid w:val="00282163"/>
    <w:rsid w:val="0028505D"/>
    <w:rsid w:val="0029083D"/>
    <w:rsid w:val="00292495"/>
    <w:rsid w:val="002B5634"/>
    <w:rsid w:val="002C7CA4"/>
    <w:rsid w:val="002D1C89"/>
    <w:rsid w:val="002E422A"/>
    <w:rsid w:val="002E5FD3"/>
    <w:rsid w:val="002F1B3D"/>
    <w:rsid w:val="00327620"/>
    <w:rsid w:val="00346B75"/>
    <w:rsid w:val="00381E6C"/>
    <w:rsid w:val="00385C65"/>
    <w:rsid w:val="00386321"/>
    <w:rsid w:val="003A69C1"/>
    <w:rsid w:val="003B3E2F"/>
    <w:rsid w:val="003B533D"/>
    <w:rsid w:val="003C0759"/>
    <w:rsid w:val="003C3FD7"/>
    <w:rsid w:val="003F12CF"/>
    <w:rsid w:val="003F1376"/>
    <w:rsid w:val="003F2DE8"/>
    <w:rsid w:val="003F4DF6"/>
    <w:rsid w:val="0041080C"/>
    <w:rsid w:val="00413A38"/>
    <w:rsid w:val="00413BA8"/>
    <w:rsid w:val="004167E4"/>
    <w:rsid w:val="00417904"/>
    <w:rsid w:val="004260EA"/>
    <w:rsid w:val="00452E7F"/>
    <w:rsid w:val="004649DF"/>
    <w:rsid w:val="00482D94"/>
    <w:rsid w:val="0049091A"/>
    <w:rsid w:val="004932BD"/>
    <w:rsid w:val="00495E00"/>
    <w:rsid w:val="004B11C7"/>
    <w:rsid w:val="004D0C85"/>
    <w:rsid w:val="004E1CFC"/>
    <w:rsid w:val="004E61FB"/>
    <w:rsid w:val="004F3838"/>
    <w:rsid w:val="00504A01"/>
    <w:rsid w:val="00517C1D"/>
    <w:rsid w:val="0053152C"/>
    <w:rsid w:val="00531592"/>
    <w:rsid w:val="00534171"/>
    <w:rsid w:val="005364D2"/>
    <w:rsid w:val="005447D0"/>
    <w:rsid w:val="005536BB"/>
    <w:rsid w:val="00555F13"/>
    <w:rsid w:val="00575AC3"/>
    <w:rsid w:val="005D5763"/>
    <w:rsid w:val="005E40BD"/>
    <w:rsid w:val="005F752C"/>
    <w:rsid w:val="00601E83"/>
    <w:rsid w:val="0063349B"/>
    <w:rsid w:val="00636133"/>
    <w:rsid w:val="00645DE2"/>
    <w:rsid w:val="00656FB6"/>
    <w:rsid w:val="00663E5B"/>
    <w:rsid w:val="00666055"/>
    <w:rsid w:val="006768BB"/>
    <w:rsid w:val="006834DA"/>
    <w:rsid w:val="006B54D0"/>
    <w:rsid w:val="006B5E1D"/>
    <w:rsid w:val="006C376C"/>
    <w:rsid w:val="006E57D3"/>
    <w:rsid w:val="007072E2"/>
    <w:rsid w:val="00710028"/>
    <w:rsid w:val="00711D6B"/>
    <w:rsid w:val="00715649"/>
    <w:rsid w:val="00726142"/>
    <w:rsid w:val="00744165"/>
    <w:rsid w:val="0076152C"/>
    <w:rsid w:val="007773D8"/>
    <w:rsid w:val="00782BA1"/>
    <w:rsid w:val="00783BF2"/>
    <w:rsid w:val="007935D8"/>
    <w:rsid w:val="007B5458"/>
    <w:rsid w:val="007C62FF"/>
    <w:rsid w:val="007D19C3"/>
    <w:rsid w:val="007D2E3B"/>
    <w:rsid w:val="007D414E"/>
    <w:rsid w:val="007E1EDD"/>
    <w:rsid w:val="007E7A4D"/>
    <w:rsid w:val="008259F4"/>
    <w:rsid w:val="008367BE"/>
    <w:rsid w:val="00845B17"/>
    <w:rsid w:val="00891BCA"/>
    <w:rsid w:val="00893A09"/>
    <w:rsid w:val="008B31A1"/>
    <w:rsid w:val="008C2033"/>
    <w:rsid w:val="008C228D"/>
    <w:rsid w:val="008D649F"/>
    <w:rsid w:val="008E0142"/>
    <w:rsid w:val="008F5DBC"/>
    <w:rsid w:val="00906C0D"/>
    <w:rsid w:val="009107AD"/>
    <w:rsid w:val="00914A85"/>
    <w:rsid w:val="0091559C"/>
    <w:rsid w:val="009366E4"/>
    <w:rsid w:val="00956986"/>
    <w:rsid w:val="00956F22"/>
    <w:rsid w:val="0097220C"/>
    <w:rsid w:val="00980B50"/>
    <w:rsid w:val="00983790"/>
    <w:rsid w:val="0098717C"/>
    <w:rsid w:val="009D6573"/>
    <w:rsid w:val="009E2E4E"/>
    <w:rsid w:val="009E7637"/>
    <w:rsid w:val="009F36BD"/>
    <w:rsid w:val="009F597D"/>
    <w:rsid w:val="00A047D8"/>
    <w:rsid w:val="00A0504E"/>
    <w:rsid w:val="00A20DB2"/>
    <w:rsid w:val="00A3326C"/>
    <w:rsid w:val="00A36518"/>
    <w:rsid w:val="00A4742E"/>
    <w:rsid w:val="00A63968"/>
    <w:rsid w:val="00A77BEA"/>
    <w:rsid w:val="00A96349"/>
    <w:rsid w:val="00AA083B"/>
    <w:rsid w:val="00AB2CC9"/>
    <w:rsid w:val="00AC299C"/>
    <w:rsid w:val="00AC59C2"/>
    <w:rsid w:val="00AC5FC9"/>
    <w:rsid w:val="00AD24D3"/>
    <w:rsid w:val="00AD2F51"/>
    <w:rsid w:val="00AD5C5E"/>
    <w:rsid w:val="00AF1784"/>
    <w:rsid w:val="00B0053C"/>
    <w:rsid w:val="00B04BDA"/>
    <w:rsid w:val="00B120A5"/>
    <w:rsid w:val="00B24C24"/>
    <w:rsid w:val="00B463D8"/>
    <w:rsid w:val="00B53662"/>
    <w:rsid w:val="00B543A4"/>
    <w:rsid w:val="00B54764"/>
    <w:rsid w:val="00B61940"/>
    <w:rsid w:val="00B62F01"/>
    <w:rsid w:val="00B81249"/>
    <w:rsid w:val="00B94A65"/>
    <w:rsid w:val="00BA0A9C"/>
    <w:rsid w:val="00BC691A"/>
    <w:rsid w:val="00BC7747"/>
    <w:rsid w:val="00BE4B67"/>
    <w:rsid w:val="00BF1DCE"/>
    <w:rsid w:val="00BF4447"/>
    <w:rsid w:val="00BF4B3A"/>
    <w:rsid w:val="00C0698B"/>
    <w:rsid w:val="00C23E63"/>
    <w:rsid w:val="00C43F62"/>
    <w:rsid w:val="00C52FF0"/>
    <w:rsid w:val="00C600BF"/>
    <w:rsid w:val="00C826E0"/>
    <w:rsid w:val="00C93191"/>
    <w:rsid w:val="00CA2E18"/>
    <w:rsid w:val="00CA7B1B"/>
    <w:rsid w:val="00CD4719"/>
    <w:rsid w:val="00CE4E69"/>
    <w:rsid w:val="00CE5E63"/>
    <w:rsid w:val="00CF03C6"/>
    <w:rsid w:val="00CF4FFE"/>
    <w:rsid w:val="00D0154C"/>
    <w:rsid w:val="00D17ADA"/>
    <w:rsid w:val="00D20661"/>
    <w:rsid w:val="00D30829"/>
    <w:rsid w:val="00D3112F"/>
    <w:rsid w:val="00D31935"/>
    <w:rsid w:val="00D37617"/>
    <w:rsid w:val="00D3796F"/>
    <w:rsid w:val="00D4227B"/>
    <w:rsid w:val="00D4622B"/>
    <w:rsid w:val="00D827E2"/>
    <w:rsid w:val="00D83D7B"/>
    <w:rsid w:val="00DB1DD0"/>
    <w:rsid w:val="00DC4872"/>
    <w:rsid w:val="00E200FD"/>
    <w:rsid w:val="00E22F18"/>
    <w:rsid w:val="00E255CB"/>
    <w:rsid w:val="00E31C70"/>
    <w:rsid w:val="00E3465E"/>
    <w:rsid w:val="00E52837"/>
    <w:rsid w:val="00E5581A"/>
    <w:rsid w:val="00E65A9C"/>
    <w:rsid w:val="00EB0D87"/>
    <w:rsid w:val="00EB32F2"/>
    <w:rsid w:val="00EC4900"/>
    <w:rsid w:val="00EE4900"/>
    <w:rsid w:val="00F14E36"/>
    <w:rsid w:val="00F21ACC"/>
    <w:rsid w:val="00F412E7"/>
    <w:rsid w:val="00F44F36"/>
    <w:rsid w:val="00F5419A"/>
    <w:rsid w:val="00F54207"/>
    <w:rsid w:val="00F70383"/>
    <w:rsid w:val="00F7076A"/>
    <w:rsid w:val="00F73FF7"/>
    <w:rsid w:val="00F8382B"/>
    <w:rsid w:val="00F97F99"/>
    <w:rsid w:val="00FC4FF1"/>
    <w:rsid w:val="00FD12FC"/>
    <w:rsid w:val="00FD6C2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5B9C8B-7F5D-48FD-B5FF-49F8A4D7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Heading3">
    <w:name w:val="heading 3"/>
    <w:basedOn w:val="Normal"/>
    <w:next w:val="Normal"/>
    <w:link w:val="3Char"/>
    <w:qFormat/>
    <w:rsid w:val="00CF4F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5Char"/>
    <w:uiPriority w:val="9"/>
    <w:unhideWhenUsed/>
    <w:qFormat/>
    <w:rsid w:val="00663E5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nhideWhenUsed/>
    <w:rsid w:val="00CF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CF4FFE"/>
    <w:rPr>
      <w:sz w:val="18"/>
      <w:szCs w:val="18"/>
    </w:rPr>
  </w:style>
  <w:style w:type="paragraph" w:styleId="Footer">
    <w:name w:val="footer"/>
    <w:basedOn w:val="Normal"/>
    <w:link w:val="Char0"/>
    <w:unhideWhenUsed/>
    <w:rsid w:val="00CF4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CF4FFE"/>
    <w:rPr>
      <w:sz w:val="18"/>
      <w:szCs w:val="18"/>
    </w:rPr>
  </w:style>
  <w:style w:type="character" w:customStyle="1" w:styleId="3Char">
    <w:name w:val="标题 3 Char"/>
    <w:basedOn w:val="DefaultParagraphFont"/>
    <w:link w:val="Heading3"/>
    <w:rsid w:val="00CF4FFE"/>
    <w:rPr>
      <w:rFonts w:ascii="Times New Roman" w:eastAsia="宋体" w:hAnsi="Times New Roman" w:cs="Times New Roman"/>
      <w:b/>
      <w:bCs/>
      <w:sz w:val="32"/>
      <w:szCs w:val="32"/>
    </w:rPr>
  </w:style>
  <w:style w:type="character" w:styleId="PageNumber">
    <w:name w:val="page number"/>
    <w:basedOn w:val="DefaultParagraphFont"/>
    <w:rsid w:val="00CF4FFE"/>
  </w:style>
  <w:style w:type="paragraph" w:styleId="BalloonText">
    <w:name w:val="Balloon Text"/>
    <w:basedOn w:val="Normal"/>
    <w:link w:val="Char1"/>
    <w:uiPriority w:val="99"/>
    <w:semiHidden/>
    <w:unhideWhenUsed/>
    <w:rsid w:val="00EC490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EC4900"/>
    <w:rPr>
      <w:rFonts w:ascii="Times New Roman" w:eastAsia="宋体" w:hAnsi="Times New Roman" w:cs="Times New Roman"/>
      <w:sz w:val="18"/>
      <w:szCs w:val="18"/>
    </w:rPr>
  </w:style>
  <w:style w:type="paragraph" w:styleId="DocumentMap">
    <w:name w:val="Document Map"/>
    <w:basedOn w:val="Normal"/>
    <w:link w:val="Char2"/>
    <w:uiPriority w:val="99"/>
    <w:semiHidden/>
    <w:unhideWhenUsed/>
    <w:rsid w:val="002C7CA4"/>
    <w:rPr>
      <w:rFonts w:ascii="宋体"/>
      <w:sz w:val="18"/>
      <w:szCs w:val="18"/>
    </w:rPr>
  </w:style>
  <w:style w:type="character" w:customStyle="1" w:styleId="Char2">
    <w:name w:val="文档结构图 Char"/>
    <w:basedOn w:val="DefaultParagraphFont"/>
    <w:link w:val="DocumentMap"/>
    <w:uiPriority w:val="99"/>
    <w:semiHidden/>
    <w:rsid w:val="002C7CA4"/>
    <w:rPr>
      <w:rFonts w:ascii="宋体" w:eastAsia="宋体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67E4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4167E4"/>
    <w:pPr>
      <w:jc w:val="left"/>
    </w:pPr>
  </w:style>
  <w:style w:type="character" w:customStyle="1" w:styleId="Char3">
    <w:name w:val="批注文字 Char"/>
    <w:basedOn w:val="DefaultParagraphFont"/>
    <w:link w:val="CommentText"/>
    <w:uiPriority w:val="99"/>
    <w:semiHidden/>
    <w:rsid w:val="004167E4"/>
    <w:rPr>
      <w:rFonts w:ascii="Times New Roman" w:eastAsia="宋体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4167E4"/>
    <w:rPr>
      <w:b/>
      <w:bCs/>
    </w:rPr>
  </w:style>
  <w:style w:type="character" w:customStyle="1" w:styleId="Char4">
    <w:name w:val="批注主题 Char"/>
    <w:basedOn w:val="Char3"/>
    <w:link w:val="CommentSubject"/>
    <w:uiPriority w:val="99"/>
    <w:semiHidden/>
    <w:rsid w:val="004167E4"/>
    <w:rPr>
      <w:rFonts w:ascii="Times New Roman" w:eastAsia="宋体" w:hAnsi="Times New Roman" w:cs="Times New Roman"/>
      <w:b/>
      <w:bCs/>
      <w:szCs w:val="24"/>
    </w:rPr>
  </w:style>
  <w:style w:type="character" w:customStyle="1" w:styleId="5Char">
    <w:name w:val="标题 5 Char"/>
    <w:basedOn w:val="DefaultParagraphFont"/>
    <w:link w:val="Heading5"/>
    <w:uiPriority w:val="9"/>
    <w:rsid w:val="00663E5B"/>
    <w:rPr>
      <w:rFonts w:ascii="Times New Roman" w:eastAsia="宋体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ns1="http://schemas.openxmlformats.org/wordprocessingml/2006/main" xmlns:ns11="http://schemas.microsoft.com/office/word/2006/wordml" xmlns:ns12="http://schemas.openxmlformats.org/drawingml/2006/chart" xmlns:ns14="http://schemas.openxmlformats.org/drawingml/2006/diagram" xmlns:ns15="http://schemas.openxmlformats.org/drawingml/2006/picture" xmlns:ns16="http://schemas.openxmlformats.org/drawingml/2006/spreadsheetDrawing" xmlns:ns17="http://schemas.microsoft.com/office/drawing/2008/diagram" xmlns:ns19="urn:schemas-microsoft-com:office:office" xmlns:ns2="http://schemas.openxmlformats.org/officeDocument/2006/math" xmlns:ns20="urn:schemas-microsoft-com:vml" xmlns:ns21="urn:schemas-microsoft-com:office:word" xmlns:ns25="http://opendope.org/xpaths" xmlns:ns26="http://opendope.org/conditions" xmlns:ns27="http://opendope.org/questions" xmlns:ns28="http://opendope.org/answers" xmlns:ns29="http://opendope.org/components" xmlns:ns3="http://schemas.openxmlformats.org/officeDocument/2006/relationships" xmlns:ns30="http://opendope.org/SmartArt/DataHierarchy" xmlns:ns31="http://schemas.openxmlformats.org/officeDocument/2006/bibliography" xmlns:ns32="http://schemas.microsoft.com/office/webextensions/taskpanes/2010/11" xmlns:ns33="http://schemas.microsoft.com/office/webextensions/webextension/2010/11" xmlns:ns4="http://schemas.microsoft.com/office/word/2010/wordml" xmlns:ns5="http://schemas.openxmlformats.org/drawingml/2006/wordprocessingDrawing" xmlns:ns6="http://schemas.openxmlformats.org/drawingml/2006/main" xmlns:ns7="http://schemas.microsoft.com/office/word/2010/wordprocessingDrawing" xmlns:ns8="http://schemas.microsoft.com/office/word/2012/wordml" xmlns:ns9="http://schemas.openxmlformats.org/markup-compatibility/2006" id="{62F939B6-93AF-4DB8-9C6B-D6C7DFDC589F}" name="Office Theme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105</Words>
  <Characters>605</Characters>
  <Application>Microsoft Office Word</Application>
  <DocSecurity>0</DocSecurity>
  <Lines>5</Lines>
  <Paragraphs>1</Paragraphs>
  <ScaleCrop>false</ScaleCrop>
  <Company>E FUND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白玥明</dc:creator>
  <cp:lastModifiedBy>许兆枫</cp:lastModifiedBy>
  <cp:revision>42</cp:revision>
  <dcterms:created xsi:type="dcterms:W3CDTF">2020-10-27T10:05:00Z</dcterms:created>
  <dcterms:modified xsi:type="dcterms:W3CDTF">2021-04-19T09:05:00Z</dcterms:modified>
</cp:coreProperties>
</file>